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C0" w:rsidRDefault="00AA76C4" w:rsidP="008F375D">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237"/>
        <w:gridCol w:w="1109"/>
        <w:gridCol w:w="1559"/>
        <w:gridCol w:w="1559"/>
        <w:gridCol w:w="851"/>
        <w:gridCol w:w="567"/>
        <w:gridCol w:w="2297"/>
      </w:tblGrid>
      <w:tr w:rsidR="001364C0">
        <w:trPr>
          <w:cantSplit/>
          <w:trHeight w:hRule="exact" w:val="868"/>
        </w:trPr>
        <w:tc>
          <w:tcPr>
            <w:tcW w:w="1551" w:type="dxa"/>
            <w:gridSpan w:val="2"/>
            <w:vMerge w:val="restart"/>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1364C0" w:rsidRDefault="00AA76C4">
            <w:pPr>
              <w:widowControl w:val="0"/>
              <w:spacing w:line="400" w:lineRule="exact"/>
              <w:ind w:firstLineChars="0" w:firstLine="0"/>
              <w:jc w:val="both"/>
              <w:rPr>
                <w:rFonts w:ascii="华文中宋" w:eastAsia="仿宋" w:hAnsi="华文中宋"/>
                <w:color w:val="000000"/>
                <w:sz w:val="28"/>
                <w:szCs w:val="28"/>
              </w:rPr>
            </w:pPr>
            <w:r>
              <w:rPr>
                <w:rFonts w:ascii="仿宋" w:eastAsia="仿宋" w:hAnsi="仿宋" w:hint="eastAsia"/>
                <w:sz w:val="28"/>
                <w:szCs w:val="28"/>
              </w:rPr>
              <w:t>港澳青年</w:t>
            </w:r>
            <w:r>
              <w:rPr>
                <w:rFonts w:ascii="仿宋" w:eastAsia="仿宋" w:hAnsi="仿宋" w:hint="eastAsia"/>
                <w:sz w:val="28"/>
                <w:szCs w:val="28"/>
              </w:rPr>
              <w:t>扎根内地</w:t>
            </w:r>
          </w:p>
        </w:tc>
        <w:tc>
          <w:tcPr>
            <w:tcW w:w="1418" w:type="dxa"/>
            <w:gridSpan w:val="2"/>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297" w:type="dxa"/>
            <w:vAlign w:val="center"/>
          </w:tcPr>
          <w:p w:rsidR="001364C0" w:rsidRDefault="00AA76C4">
            <w:pPr>
              <w:widowControl w:val="0"/>
              <w:spacing w:line="400" w:lineRule="exact"/>
              <w:ind w:firstLineChars="0" w:firstLine="0"/>
              <w:rPr>
                <w:rFonts w:ascii="仿宋_GB2312" w:eastAsia="仿宋_GB2312"/>
                <w:color w:val="000000"/>
                <w:sz w:val="28"/>
                <w:szCs w:val="28"/>
              </w:rPr>
            </w:pPr>
            <w:r>
              <w:rPr>
                <w:rFonts w:ascii="仿宋" w:eastAsia="仿宋" w:hAnsi="仿宋" w:hint="eastAsia"/>
                <w:color w:val="000000"/>
                <w:sz w:val="28"/>
                <w:szCs w:val="28"/>
              </w:rPr>
              <w:t>国际传播</w:t>
            </w:r>
            <w:r>
              <w:rPr>
                <w:rFonts w:ascii="仿宋" w:eastAsia="仿宋" w:hAnsi="仿宋" w:hint="eastAsia"/>
                <w:color w:val="000000"/>
                <w:sz w:val="28"/>
                <w:szCs w:val="28"/>
              </w:rPr>
              <w:t>-</w:t>
            </w:r>
            <w:r>
              <w:rPr>
                <w:rFonts w:ascii="仿宋" w:eastAsia="仿宋" w:hAnsi="仿宋" w:hint="eastAsia"/>
                <w:color w:val="000000"/>
                <w:sz w:val="28"/>
                <w:szCs w:val="28"/>
              </w:rPr>
              <w:t>系列报道</w:t>
            </w:r>
          </w:p>
        </w:tc>
      </w:tr>
      <w:tr w:rsidR="001364C0">
        <w:trPr>
          <w:cantSplit/>
          <w:trHeight w:hRule="exact" w:val="557"/>
        </w:trPr>
        <w:tc>
          <w:tcPr>
            <w:tcW w:w="1551" w:type="dxa"/>
            <w:gridSpan w:val="2"/>
            <w:vMerge/>
            <w:vAlign w:val="center"/>
          </w:tcPr>
          <w:p w:rsidR="001364C0" w:rsidRDefault="001364C0">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1364C0" w:rsidRDefault="001364C0">
            <w:pPr>
              <w:widowControl w:val="0"/>
              <w:spacing w:line="400" w:lineRule="exact"/>
              <w:ind w:firstLine="560"/>
              <w:jc w:val="center"/>
              <w:rPr>
                <w:rFonts w:ascii="华文中宋" w:eastAsia="华文中宋" w:hAnsi="华文中宋"/>
                <w:color w:val="000000"/>
                <w:sz w:val="28"/>
                <w:szCs w:val="28"/>
              </w:rPr>
            </w:pPr>
          </w:p>
        </w:tc>
        <w:tc>
          <w:tcPr>
            <w:tcW w:w="851" w:type="dxa"/>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2864" w:type="dxa"/>
            <w:gridSpan w:val="2"/>
            <w:vAlign w:val="center"/>
          </w:tcPr>
          <w:p w:rsidR="001364C0" w:rsidRDefault="00AA76C4">
            <w:pPr>
              <w:widowControl w:val="0"/>
              <w:spacing w:line="400" w:lineRule="exact"/>
              <w:ind w:firstLineChars="0" w:firstLine="0"/>
              <w:rPr>
                <w:rFonts w:ascii="仿宋_GB2312" w:eastAsia="仿宋_GB2312" w:hAnsi="仿宋"/>
                <w:color w:val="000000"/>
                <w:sz w:val="28"/>
                <w:szCs w:val="28"/>
              </w:rPr>
            </w:pPr>
            <w:r>
              <w:rPr>
                <w:rFonts w:ascii="仿宋" w:eastAsia="仿宋" w:hAnsi="仿宋" w:hint="eastAsia"/>
                <w:color w:val="000000"/>
                <w:sz w:val="28"/>
                <w:szCs w:val="28"/>
              </w:rPr>
              <w:t>系列</w:t>
            </w:r>
            <w:r>
              <w:rPr>
                <w:rFonts w:ascii="仿宋" w:eastAsia="仿宋" w:hAnsi="仿宋" w:hint="eastAsia"/>
                <w:color w:val="000000"/>
                <w:sz w:val="28"/>
                <w:szCs w:val="28"/>
              </w:rPr>
              <w:t>报道</w:t>
            </w:r>
          </w:p>
        </w:tc>
      </w:tr>
      <w:tr w:rsidR="001364C0" w:rsidTr="008F375D">
        <w:trPr>
          <w:cantSplit/>
          <w:trHeight w:hRule="exact" w:val="572"/>
        </w:trPr>
        <w:tc>
          <w:tcPr>
            <w:tcW w:w="1551" w:type="dxa"/>
            <w:gridSpan w:val="2"/>
            <w:vMerge/>
            <w:vAlign w:val="center"/>
          </w:tcPr>
          <w:p w:rsidR="001364C0" w:rsidRDefault="001364C0">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1364C0" w:rsidRDefault="001364C0">
            <w:pPr>
              <w:widowControl w:val="0"/>
              <w:spacing w:line="400" w:lineRule="exact"/>
              <w:ind w:firstLine="560"/>
              <w:jc w:val="center"/>
              <w:rPr>
                <w:rFonts w:ascii="华文中宋" w:eastAsia="华文中宋" w:hAnsi="华文中宋"/>
                <w:color w:val="000000"/>
                <w:sz w:val="28"/>
                <w:szCs w:val="28"/>
              </w:rPr>
            </w:pPr>
          </w:p>
        </w:tc>
        <w:tc>
          <w:tcPr>
            <w:tcW w:w="851" w:type="dxa"/>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864" w:type="dxa"/>
            <w:gridSpan w:val="2"/>
            <w:vAlign w:val="center"/>
          </w:tcPr>
          <w:p w:rsidR="001364C0" w:rsidRDefault="00AA76C4">
            <w:pPr>
              <w:widowControl w:val="0"/>
              <w:spacing w:line="400" w:lineRule="exact"/>
              <w:ind w:firstLineChars="0" w:firstLine="0"/>
              <w:rPr>
                <w:rFonts w:ascii="仿宋_GB2312" w:eastAsia="仿宋_GB2312"/>
                <w:color w:val="000000"/>
                <w:sz w:val="28"/>
                <w:szCs w:val="28"/>
              </w:rPr>
            </w:pPr>
            <w:r>
              <w:rPr>
                <w:rFonts w:ascii="仿宋" w:eastAsia="仿宋" w:hAnsi="仿宋" w:hint="eastAsia"/>
                <w:color w:val="000000"/>
                <w:sz w:val="28"/>
                <w:szCs w:val="28"/>
              </w:rPr>
              <w:t>英文</w:t>
            </w:r>
          </w:p>
        </w:tc>
      </w:tr>
      <w:tr w:rsidR="001364C0" w:rsidTr="008F375D">
        <w:trPr>
          <w:cantSplit/>
          <w:trHeight w:val="1255"/>
        </w:trPr>
        <w:tc>
          <w:tcPr>
            <w:tcW w:w="1551" w:type="dxa"/>
            <w:gridSpan w:val="2"/>
            <w:vAlign w:val="center"/>
          </w:tcPr>
          <w:p w:rsidR="001364C0" w:rsidRDefault="00AA76C4">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1364C0" w:rsidRDefault="00AA76C4">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1364C0" w:rsidRPr="008F375D" w:rsidRDefault="00AA76C4" w:rsidP="00C85CEE">
            <w:pPr>
              <w:widowControl w:val="0"/>
              <w:spacing w:line="400" w:lineRule="exact"/>
              <w:ind w:firstLineChars="0" w:firstLine="0"/>
              <w:jc w:val="both"/>
              <w:rPr>
                <w:rFonts w:ascii="仿宋" w:eastAsia="仿宋" w:hAnsi="仿宋"/>
                <w:bCs/>
                <w:sz w:val="28"/>
                <w:szCs w:val="28"/>
              </w:rPr>
            </w:pPr>
            <w:r w:rsidRPr="008F375D">
              <w:rPr>
                <w:rFonts w:ascii="仿宋" w:eastAsia="仿宋" w:hAnsi="仿宋" w:cs="宋体"/>
                <w:sz w:val="28"/>
                <w:szCs w:val="28"/>
              </w:rPr>
              <w:t>郑彩雄、赵瑞雪</w:t>
            </w:r>
            <w:r w:rsidRPr="008F375D">
              <w:rPr>
                <w:rFonts w:ascii="仿宋" w:eastAsia="仿宋" w:hAnsi="仿宋" w:cs="宋体" w:hint="eastAsia"/>
                <w:sz w:val="28"/>
                <w:szCs w:val="28"/>
              </w:rPr>
              <w:t>、</w:t>
            </w:r>
            <w:r w:rsidRPr="008F375D">
              <w:rPr>
                <w:rFonts w:ascii="仿宋" w:eastAsia="仿宋" w:hAnsi="仿宋" w:cs="宋体"/>
                <w:sz w:val="28"/>
                <w:szCs w:val="28"/>
              </w:rPr>
              <w:t>周慧颖、胡冬梅</w:t>
            </w:r>
            <w:r w:rsidR="00C85CEE">
              <w:rPr>
                <w:rFonts w:ascii="宋体" w:eastAsia="仿宋" w:hAnsi="宋体" w:cs="宋体" w:hint="eastAsia"/>
                <w:sz w:val="28"/>
                <w:szCs w:val="28"/>
              </w:rPr>
              <w:t>、</w:t>
            </w:r>
            <w:r w:rsidRPr="00C85CEE">
              <w:rPr>
                <w:rFonts w:ascii="仿宋" w:eastAsia="仿宋" w:hAnsi="仿宋" w:cs="宋体"/>
                <w:sz w:val="28"/>
                <w:szCs w:val="28"/>
              </w:rPr>
              <w:t>辛闻、朱立新、杨军</w:t>
            </w:r>
          </w:p>
        </w:tc>
        <w:tc>
          <w:tcPr>
            <w:tcW w:w="1559" w:type="dxa"/>
            <w:vAlign w:val="center"/>
          </w:tcPr>
          <w:p w:rsidR="001364C0" w:rsidRDefault="00AA76C4">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715" w:type="dxa"/>
            <w:gridSpan w:val="3"/>
            <w:vAlign w:val="center"/>
          </w:tcPr>
          <w:p w:rsidR="001364C0" w:rsidRDefault="00AA76C4">
            <w:pPr>
              <w:widowControl w:val="0"/>
              <w:spacing w:line="400" w:lineRule="exact"/>
              <w:ind w:firstLineChars="0" w:firstLine="0"/>
              <w:rPr>
                <w:rFonts w:ascii="仿宋" w:eastAsia="仿宋" w:hAnsi="仿宋"/>
                <w:color w:val="000000"/>
                <w:w w:val="95"/>
                <w:sz w:val="28"/>
                <w:szCs w:val="28"/>
              </w:rPr>
            </w:pPr>
            <w:r>
              <w:rPr>
                <w:rFonts w:ascii="仿宋" w:eastAsia="仿宋" w:hAnsi="仿宋" w:hint="eastAsia"/>
                <w:color w:val="000000"/>
                <w:sz w:val="28"/>
                <w:szCs w:val="28"/>
              </w:rPr>
              <w:t>集体（</w:t>
            </w:r>
            <w:r>
              <w:rPr>
                <w:rFonts w:ascii="仿宋" w:eastAsia="仿宋" w:hAnsi="仿宋"/>
                <w:color w:val="000000"/>
                <w:sz w:val="28"/>
                <w:szCs w:val="28"/>
              </w:rPr>
              <w:t>徐小丹</w:t>
            </w:r>
            <w:r>
              <w:rPr>
                <w:rFonts w:ascii="Calibri" w:eastAsia="仿宋" w:hAnsi="Calibri" w:cs="Calibri" w:hint="eastAsia"/>
                <w:color w:val="000000"/>
                <w:sz w:val="28"/>
                <w:szCs w:val="28"/>
              </w:rPr>
              <w:t>、</w:t>
            </w:r>
            <w:r>
              <w:rPr>
                <w:rFonts w:ascii="仿宋" w:eastAsia="仿宋" w:hAnsi="仿宋"/>
                <w:color w:val="000000"/>
                <w:sz w:val="28"/>
                <w:szCs w:val="28"/>
              </w:rPr>
              <w:t>单娟</w:t>
            </w:r>
            <w:r>
              <w:rPr>
                <w:rFonts w:ascii="仿宋" w:eastAsia="仿宋" w:hAnsi="仿宋" w:hint="eastAsia"/>
                <w:color w:val="000000"/>
                <w:sz w:val="28"/>
                <w:szCs w:val="28"/>
              </w:rPr>
              <w:t>、李静</w:t>
            </w:r>
            <w:r>
              <w:rPr>
                <w:rFonts w:ascii="仿宋" w:eastAsia="仿宋" w:hAnsi="仿宋" w:hint="eastAsia"/>
                <w:color w:val="000000"/>
                <w:sz w:val="28"/>
                <w:szCs w:val="28"/>
              </w:rPr>
              <w:t>、</w:t>
            </w:r>
            <w:r>
              <w:rPr>
                <w:rFonts w:ascii="仿宋" w:eastAsia="仿宋" w:hAnsi="仿宋"/>
                <w:color w:val="000000"/>
                <w:sz w:val="28"/>
                <w:szCs w:val="28"/>
              </w:rPr>
              <w:t>赵晨雁</w:t>
            </w:r>
            <w:r>
              <w:rPr>
                <w:rFonts w:ascii="仿宋" w:eastAsia="仿宋" w:hAnsi="仿宋" w:hint="eastAsia"/>
                <w:color w:val="000000"/>
                <w:sz w:val="28"/>
                <w:szCs w:val="28"/>
              </w:rPr>
              <w:t>）</w:t>
            </w:r>
          </w:p>
        </w:tc>
      </w:tr>
      <w:tr w:rsidR="001364C0" w:rsidTr="008F375D">
        <w:trPr>
          <w:cantSplit/>
          <w:trHeight w:val="705"/>
        </w:trPr>
        <w:tc>
          <w:tcPr>
            <w:tcW w:w="1551" w:type="dxa"/>
            <w:gridSpan w:val="2"/>
            <w:vAlign w:val="center"/>
          </w:tcPr>
          <w:p w:rsidR="001364C0" w:rsidRDefault="00AA76C4">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1364C0" w:rsidRDefault="00AA76C4">
            <w:pPr>
              <w:widowControl w:val="0"/>
              <w:spacing w:line="400" w:lineRule="exact"/>
              <w:ind w:firstLine="560"/>
              <w:jc w:val="both"/>
              <w:rPr>
                <w:rFonts w:ascii="仿宋_GB2312" w:eastAsia="仿宋_GB2312" w:hAnsi="仿宋"/>
                <w:color w:val="000000"/>
                <w:sz w:val="28"/>
                <w:szCs w:val="28"/>
              </w:rPr>
            </w:pPr>
            <w:r>
              <w:rPr>
                <w:rFonts w:ascii="仿宋" w:eastAsia="仿宋" w:hAnsi="仿宋" w:hint="eastAsia"/>
                <w:bCs/>
                <w:sz w:val="28"/>
                <w:szCs w:val="28"/>
              </w:rPr>
              <w:t>中国日报社</w:t>
            </w:r>
          </w:p>
        </w:tc>
        <w:tc>
          <w:tcPr>
            <w:tcW w:w="1559" w:type="dxa"/>
            <w:vAlign w:val="center"/>
          </w:tcPr>
          <w:p w:rsidR="001364C0" w:rsidRDefault="00AA76C4">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715" w:type="dxa"/>
            <w:gridSpan w:val="3"/>
            <w:vAlign w:val="center"/>
          </w:tcPr>
          <w:p w:rsidR="001364C0" w:rsidRDefault="00AA76C4">
            <w:pPr>
              <w:widowControl w:val="0"/>
              <w:spacing w:line="400" w:lineRule="exact"/>
              <w:ind w:firstLineChars="0" w:firstLine="0"/>
              <w:jc w:val="both"/>
              <w:rPr>
                <w:rFonts w:ascii="仿宋_GB2312" w:eastAsia="仿宋_GB2312" w:hAnsi="仿宋"/>
                <w:color w:val="000000"/>
                <w:sz w:val="28"/>
                <w:szCs w:val="28"/>
                <w:highlight w:val="green"/>
              </w:rPr>
            </w:pPr>
            <w:r>
              <w:rPr>
                <w:rFonts w:ascii="仿宋" w:eastAsia="仿宋" w:hAnsi="仿宋" w:hint="eastAsia"/>
                <w:bCs/>
                <w:sz w:val="28"/>
                <w:szCs w:val="28"/>
              </w:rPr>
              <w:t>中国日报</w:t>
            </w:r>
            <w:r w:rsidR="008F375D">
              <w:rPr>
                <w:rFonts w:ascii="仿宋" w:eastAsia="仿宋" w:hAnsi="仿宋" w:hint="eastAsia"/>
                <w:bCs/>
                <w:sz w:val="28"/>
                <w:szCs w:val="28"/>
              </w:rPr>
              <w:t>社</w:t>
            </w:r>
          </w:p>
        </w:tc>
      </w:tr>
      <w:tr w:rsidR="001364C0">
        <w:trPr>
          <w:cantSplit/>
          <w:trHeight w:hRule="exact" w:val="766"/>
        </w:trPr>
        <w:tc>
          <w:tcPr>
            <w:tcW w:w="1551" w:type="dxa"/>
            <w:gridSpan w:val="2"/>
            <w:vAlign w:val="center"/>
          </w:tcPr>
          <w:p w:rsidR="001364C0" w:rsidRDefault="00AA76C4">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rsidR="001364C0" w:rsidRDefault="00AA76C4">
            <w:pPr>
              <w:widowControl w:val="0"/>
              <w:spacing w:line="400" w:lineRule="exact"/>
              <w:ind w:firstLineChars="0" w:firstLine="0"/>
              <w:jc w:val="both"/>
              <w:rPr>
                <w:rFonts w:ascii="仿宋_GB2312" w:eastAsia="仿宋_GB2312" w:hAnsi="仿宋"/>
                <w:color w:val="000000"/>
                <w:sz w:val="28"/>
                <w:szCs w:val="28"/>
              </w:rPr>
            </w:pPr>
            <w:r>
              <w:rPr>
                <w:rFonts w:ascii="仿宋" w:eastAsia="仿宋" w:hAnsi="仿宋" w:hint="eastAsia"/>
                <w:bCs/>
                <w:sz w:val="28"/>
                <w:szCs w:val="28"/>
              </w:rPr>
              <w:t>头版转</w:t>
            </w:r>
            <w:r>
              <w:rPr>
                <w:rFonts w:ascii="仿宋" w:eastAsia="仿宋" w:hAnsi="仿宋" w:hint="eastAsia"/>
                <w:bCs/>
                <w:sz w:val="28"/>
                <w:szCs w:val="28"/>
              </w:rPr>
              <w:t>6</w:t>
            </w:r>
            <w:r>
              <w:rPr>
                <w:rFonts w:ascii="仿宋" w:eastAsia="仿宋" w:hAnsi="仿宋" w:hint="eastAsia"/>
                <w:bCs/>
                <w:sz w:val="28"/>
                <w:szCs w:val="28"/>
              </w:rPr>
              <w:t>、</w:t>
            </w:r>
            <w:r>
              <w:rPr>
                <w:rFonts w:ascii="仿宋" w:eastAsia="仿宋" w:hAnsi="仿宋" w:hint="eastAsia"/>
                <w:bCs/>
                <w:sz w:val="28"/>
                <w:szCs w:val="28"/>
              </w:rPr>
              <w:t>7</w:t>
            </w:r>
            <w:r>
              <w:rPr>
                <w:rFonts w:ascii="仿宋" w:eastAsia="仿宋" w:hAnsi="仿宋" w:hint="eastAsia"/>
                <w:bCs/>
                <w:sz w:val="28"/>
                <w:szCs w:val="28"/>
              </w:rPr>
              <w:t>版跨版</w:t>
            </w:r>
          </w:p>
        </w:tc>
        <w:tc>
          <w:tcPr>
            <w:tcW w:w="1559" w:type="dxa"/>
            <w:vAlign w:val="center"/>
          </w:tcPr>
          <w:p w:rsidR="001364C0" w:rsidRDefault="00AA76C4">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715" w:type="dxa"/>
            <w:gridSpan w:val="3"/>
            <w:vAlign w:val="center"/>
          </w:tcPr>
          <w:p w:rsidR="001364C0" w:rsidRDefault="00AA76C4">
            <w:pPr>
              <w:widowControl w:val="0"/>
              <w:spacing w:line="400" w:lineRule="exact"/>
              <w:ind w:firstLineChars="0" w:firstLine="0"/>
              <w:jc w:val="both"/>
              <w:rPr>
                <w:rFonts w:ascii="仿宋_GB2312" w:eastAsia="仿宋_GB2312" w:hAnsi="仿宋"/>
                <w:color w:val="000000"/>
                <w:sz w:val="28"/>
                <w:szCs w:val="28"/>
              </w:rPr>
            </w:pPr>
            <w:r>
              <w:rPr>
                <w:rFonts w:ascii="仿宋" w:eastAsia="仿宋" w:hAnsi="仿宋" w:hint="eastAsia"/>
                <w:bCs/>
                <w:sz w:val="28"/>
                <w:szCs w:val="28"/>
              </w:rPr>
              <w:t>2021</w:t>
            </w:r>
            <w:r>
              <w:rPr>
                <w:rFonts w:ascii="仿宋" w:eastAsia="仿宋" w:hAnsi="仿宋" w:hint="eastAsia"/>
                <w:bCs/>
                <w:sz w:val="28"/>
                <w:szCs w:val="28"/>
              </w:rPr>
              <w:t>年</w:t>
            </w:r>
            <w:r>
              <w:rPr>
                <w:rFonts w:ascii="仿宋" w:eastAsia="仿宋" w:hAnsi="仿宋" w:hint="eastAsia"/>
                <w:bCs/>
                <w:sz w:val="28"/>
                <w:szCs w:val="28"/>
              </w:rPr>
              <w:t>12</w:t>
            </w:r>
            <w:r>
              <w:rPr>
                <w:rFonts w:ascii="仿宋" w:eastAsia="仿宋" w:hAnsi="仿宋" w:hint="eastAsia"/>
                <w:bCs/>
                <w:sz w:val="28"/>
                <w:szCs w:val="28"/>
              </w:rPr>
              <w:t>月</w:t>
            </w:r>
            <w:r>
              <w:rPr>
                <w:rFonts w:ascii="仿宋" w:eastAsia="仿宋" w:hAnsi="仿宋" w:hint="eastAsia"/>
                <w:bCs/>
                <w:sz w:val="28"/>
                <w:szCs w:val="28"/>
              </w:rPr>
              <w:t>1</w:t>
            </w:r>
            <w:r>
              <w:rPr>
                <w:rFonts w:ascii="仿宋" w:eastAsia="仿宋" w:hAnsi="仿宋" w:hint="eastAsia"/>
                <w:bCs/>
                <w:sz w:val="28"/>
                <w:szCs w:val="28"/>
              </w:rPr>
              <w:t>4</w:t>
            </w:r>
            <w:r>
              <w:rPr>
                <w:rFonts w:ascii="仿宋" w:eastAsia="仿宋" w:hAnsi="仿宋" w:hint="eastAsia"/>
                <w:bCs/>
                <w:sz w:val="28"/>
                <w:szCs w:val="28"/>
              </w:rPr>
              <w:t>日</w:t>
            </w:r>
          </w:p>
        </w:tc>
      </w:tr>
      <w:tr w:rsidR="001364C0" w:rsidTr="008F375D">
        <w:trPr>
          <w:cantSplit/>
          <w:trHeight w:hRule="exact" w:val="591"/>
        </w:trPr>
        <w:tc>
          <w:tcPr>
            <w:tcW w:w="2660" w:type="dxa"/>
            <w:gridSpan w:val="3"/>
            <w:vAlign w:val="center"/>
          </w:tcPr>
          <w:p w:rsidR="001364C0" w:rsidRDefault="00AA76C4">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6833" w:type="dxa"/>
            <w:gridSpan w:val="5"/>
            <w:vAlign w:val="center"/>
          </w:tcPr>
          <w:p w:rsidR="001364C0" w:rsidRDefault="001364C0">
            <w:pPr>
              <w:widowControl w:val="0"/>
              <w:spacing w:line="260" w:lineRule="exact"/>
              <w:ind w:firstLineChars="0" w:firstLine="0"/>
              <w:jc w:val="both"/>
              <w:rPr>
                <w:rFonts w:ascii="仿宋_GB2312" w:eastAsia="仿宋_GB2312" w:hAnsi="仿宋"/>
                <w:color w:val="000000"/>
                <w:szCs w:val="21"/>
              </w:rPr>
            </w:pPr>
          </w:p>
        </w:tc>
      </w:tr>
      <w:tr w:rsidR="001364C0" w:rsidTr="0086244D">
        <w:trPr>
          <w:cantSplit/>
          <w:trHeight w:val="7267"/>
        </w:trPr>
        <w:tc>
          <w:tcPr>
            <w:tcW w:w="1314" w:type="dxa"/>
            <w:vAlign w:val="center"/>
          </w:tcPr>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1364C0" w:rsidRDefault="00AA76C4">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179" w:type="dxa"/>
            <w:gridSpan w:val="7"/>
          </w:tcPr>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2021</w:t>
            </w:r>
            <w:r>
              <w:rPr>
                <w:rFonts w:ascii="仿宋" w:eastAsia="仿宋" w:hAnsi="仿宋" w:hint="eastAsia"/>
                <w:bCs/>
                <w:sz w:val="28"/>
                <w:szCs w:val="28"/>
              </w:rPr>
              <w:t>年香港立法会选举前，中国日报推出“</w:t>
            </w:r>
            <w:r>
              <w:rPr>
                <w:rFonts w:ascii="仿宋" w:eastAsia="仿宋" w:hAnsi="仿宋" w:hint="eastAsia"/>
                <w:sz w:val="28"/>
                <w:szCs w:val="28"/>
              </w:rPr>
              <w:t>港澳青年</w:t>
            </w:r>
            <w:r>
              <w:rPr>
                <w:rFonts w:ascii="仿宋" w:eastAsia="仿宋" w:hAnsi="仿宋" w:hint="eastAsia"/>
                <w:sz w:val="28"/>
                <w:szCs w:val="28"/>
              </w:rPr>
              <w:t>扎根内地”的</w:t>
            </w:r>
            <w:r>
              <w:rPr>
                <w:rFonts w:ascii="仿宋" w:eastAsia="仿宋" w:hAnsi="仿宋" w:hint="eastAsia"/>
                <w:bCs/>
                <w:sz w:val="28"/>
                <w:szCs w:val="28"/>
              </w:rPr>
              <w:t>系列报道，</w:t>
            </w:r>
            <w:r>
              <w:rPr>
                <w:rFonts w:ascii="仿宋" w:eastAsia="仿宋" w:hAnsi="仿宋" w:hint="eastAsia"/>
                <w:bCs/>
                <w:sz w:val="28"/>
                <w:szCs w:val="28"/>
              </w:rPr>
              <w:t>通过采访</w:t>
            </w:r>
            <w:r>
              <w:rPr>
                <w:rFonts w:ascii="仿宋" w:eastAsia="仿宋" w:hAnsi="仿宋" w:hint="eastAsia"/>
                <w:bCs/>
                <w:sz w:val="28"/>
                <w:szCs w:val="28"/>
              </w:rPr>
              <w:t>9</w:t>
            </w:r>
            <w:r>
              <w:rPr>
                <w:rFonts w:ascii="仿宋" w:eastAsia="仿宋" w:hAnsi="仿宋" w:hint="eastAsia"/>
                <w:bCs/>
                <w:sz w:val="28"/>
                <w:szCs w:val="28"/>
              </w:rPr>
              <w:t>位在内地不同城市学习、就业、创业的港澳青年，以多元视角讲述他们主动融入国家发展大局、实现个人理想的生动故事。</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9</w:t>
            </w:r>
            <w:r>
              <w:rPr>
                <w:rFonts w:ascii="仿宋" w:eastAsia="仿宋" w:hAnsi="仿宋" w:hint="eastAsia"/>
                <w:bCs/>
                <w:sz w:val="28"/>
                <w:szCs w:val="28"/>
              </w:rPr>
              <w:t>位港澳青年分布在辽宁、宁夏、安徽、</w:t>
            </w:r>
            <w:r>
              <w:rPr>
                <w:rFonts w:ascii="仿宋" w:eastAsia="仿宋" w:hAnsi="仿宋" w:hint="eastAsia"/>
                <w:bCs/>
                <w:sz w:val="28"/>
                <w:szCs w:val="28"/>
              </w:rPr>
              <w:t>山东</w:t>
            </w:r>
            <w:r>
              <w:rPr>
                <w:rFonts w:ascii="仿宋" w:eastAsia="仿宋" w:hAnsi="仿宋" w:hint="eastAsia"/>
                <w:bCs/>
                <w:sz w:val="28"/>
                <w:szCs w:val="28"/>
              </w:rPr>
              <w:t>、贵州、广东等省份，从事科研、法律、金融、农业种植等行业，有大学生、公司职员、扶贫志愿者、创业者等</w:t>
            </w:r>
            <w:r>
              <w:rPr>
                <w:rFonts w:ascii="仿宋" w:eastAsia="仿宋" w:hAnsi="仿宋" w:hint="eastAsia"/>
                <w:bCs/>
                <w:sz w:val="28"/>
                <w:szCs w:val="28"/>
              </w:rPr>
              <w:t>，</w:t>
            </w:r>
            <w:r>
              <w:rPr>
                <w:rFonts w:ascii="仿宋" w:eastAsia="仿宋" w:hAnsi="仿宋" w:hint="eastAsia"/>
                <w:bCs/>
                <w:sz w:val="28"/>
                <w:szCs w:val="28"/>
              </w:rPr>
              <w:t>既有</w:t>
            </w:r>
            <w:r>
              <w:rPr>
                <w:rFonts w:ascii="仿宋" w:eastAsia="仿宋" w:hAnsi="仿宋" w:hint="eastAsia"/>
                <w:bCs/>
                <w:sz w:val="28"/>
                <w:szCs w:val="28"/>
              </w:rPr>
              <w:t>为爱扎根大西北的澳门小伙</w:t>
            </w:r>
            <w:r>
              <w:rPr>
                <w:rFonts w:ascii="仿宋" w:eastAsia="仿宋" w:hAnsi="仿宋" w:hint="eastAsia"/>
                <w:bCs/>
                <w:sz w:val="28"/>
                <w:szCs w:val="28"/>
              </w:rPr>
              <w:t>，</w:t>
            </w:r>
            <w:r>
              <w:rPr>
                <w:rFonts w:ascii="仿宋" w:eastAsia="仿宋" w:hAnsi="仿宋" w:hint="eastAsia"/>
                <w:bCs/>
                <w:sz w:val="28"/>
                <w:szCs w:val="28"/>
              </w:rPr>
              <w:t>也有</w:t>
            </w:r>
            <w:r>
              <w:rPr>
                <w:rFonts w:ascii="仿宋" w:eastAsia="仿宋" w:hAnsi="仿宋" w:hint="eastAsia"/>
                <w:bCs/>
                <w:sz w:val="28"/>
                <w:szCs w:val="28"/>
              </w:rPr>
              <w:t>跨越千里</w:t>
            </w:r>
            <w:r>
              <w:rPr>
                <w:rFonts w:ascii="仿宋" w:eastAsia="仿宋" w:hAnsi="仿宋" w:hint="eastAsia"/>
                <w:bCs/>
                <w:sz w:val="28"/>
                <w:szCs w:val="28"/>
              </w:rPr>
              <w:t>、</w:t>
            </w:r>
            <w:r>
              <w:rPr>
                <w:rFonts w:ascii="仿宋" w:eastAsia="仿宋" w:hAnsi="仿宋" w:hint="eastAsia"/>
                <w:bCs/>
                <w:sz w:val="28"/>
                <w:szCs w:val="28"/>
              </w:rPr>
              <w:t>到深度贫困县从事鲜花种植的扶贫</w:t>
            </w:r>
            <w:r>
              <w:rPr>
                <w:rFonts w:ascii="仿宋" w:eastAsia="仿宋" w:hAnsi="仿宋" w:hint="eastAsia"/>
                <w:bCs/>
                <w:sz w:val="28"/>
                <w:szCs w:val="28"/>
              </w:rPr>
              <w:t>小姐姐</w:t>
            </w:r>
            <w:r>
              <w:rPr>
                <w:rFonts w:ascii="仿宋" w:eastAsia="仿宋" w:hAnsi="仿宋" w:hint="eastAsia"/>
                <w:bCs/>
                <w:sz w:val="28"/>
                <w:szCs w:val="28"/>
              </w:rPr>
              <w:t>。</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策划团队认真学习习近平总书记关于做好港澳工作的重要论述，特别是“要为港澳青年发展多搭台、多搭梯”的论述，以港澳青年为主体，以文、图、视等融媒报道形式生动讲述祖</w:t>
            </w:r>
            <w:r>
              <w:rPr>
                <w:rFonts w:ascii="仿宋" w:eastAsia="仿宋" w:hAnsi="仿宋" w:hint="eastAsia"/>
                <w:bCs/>
                <w:sz w:val="28"/>
                <w:szCs w:val="28"/>
              </w:rPr>
              <w:t>国蓬勃发展为港澳青年提供的无限前景。报道将宏大主题与温情叙事相结合，以广泛的地域覆盖和职业构成，清晰勾勒出港澳青年在内地发展的群像，又通过个性化的故事让层次更加丰富。为展现近年来港澳青年在内地入学、就业的趋势变化及各省市出台的优惠政策，还精心制作了数据图表。</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策划团队同时用镜头记录了他们的故事，制作成中英双语视频《向上追梦——港澳青年说》，在头版配发二维码，可扫码观看，生动彰显各界港澳青年对祖国的认同感、归属感。</w:t>
            </w:r>
          </w:p>
        </w:tc>
      </w:tr>
      <w:tr w:rsidR="001364C0" w:rsidTr="0086244D">
        <w:trPr>
          <w:cantSplit/>
          <w:trHeight w:hRule="exact" w:val="6106"/>
        </w:trPr>
        <w:tc>
          <w:tcPr>
            <w:tcW w:w="1314" w:type="dxa"/>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9" w:type="dxa"/>
            <w:gridSpan w:val="7"/>
          </w:tcPr>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系列报道在中国日报旗舰版、国际版、香港版同时推出，发行覆盖香港、以及亚太、美洲、欧洲、非洲等</w:t>
            </w:r>
            <w:r>
              <w:rPr>
                <w:rFonts w:ascii="仿宋" w:eastAsia="仿宋" w:hAnsi="仿宋" w:hint="eastAsia"/>
                <w:bCs/>
                <w:sz w:val="28"/>
                <w:szCs w:val="28"/>
              </w:rPr>
              <w:t>57</w:t>
            </w:r>
            <w:r>
              <w:rPr>
                <w:rFonts w:ascii="仿宋" w:eastAsia="仿宋" w:hAnsi="仿宋" w:hint="eastAsia"/>
                <w:bCs/>
                <w:sz w:val="28"/>
                <w:szCs w:val="28"/>
              </w:rPr>
              <w:t>个国家和地区的数十万国际读者。为扩大国际传播效果，策划团队将报道内容碎片化，拆条成</w:t>
            </w:r>
            <w:r>
              <w:rPr>
                <w:rFonts w:ascii="仿宋" w:eastAsia="仿宋" w:hAnsi="仿宋" w:hint="eastAsia"/>
                <w:bCs/>
                <w:sz w:val="28"/>
                <w:szCs w:val="28"/>
              </w:rPr>
              <w:t>图文、视频、数据图表、海报等多种形式在中国日报网、客户端、微博、抖音、脸谱、推特等海内外平台持续刊发</w:t>
            </w:r>
            <w:r>
              <w:rPr>
                <w:rFonts w:ascii="仿宋" w:eastAsia="仿宋" w:hAnsi="仿宋" w:hint="eastAsia"/>
                <w:bCs/>
                <w:sz w:val="28"/>
                <w:szCs w:val="28"/>
              </w:rPr>
              <w:t>，其中</w:t>
            </w:r>
            <w:r>
              <w:rPr>
                <w:rFonts w:ascii="仿宋" w:eastAsia="仿宋" w:hAnsi="仿宋" w:hint="eastAsia"/>
                <w:bCs/>
                <w:sz w:val="28"/>
                <w:szCs w:val="28"/>
              </w:rPr>
              <w:t>中国日报客户端全球下载量</w:t>
            </w:r>
            <w:r>
              <w:rPr>
                <w:rFonts w:ascii="仿宋" w:eastAsia="仿宋" w:hAnsi="仿宋" w:hint="eastAsia"/>
                <w:bCs/>
                <w:sz w:val="28"/>
                <w:szCs w:val="28"/>
              </w:rPr>
              <w:t>3700</w:t>
            </w:r>
            <w:r>
              <w:rPr>
                <w:rFonts w:ascii="仿宋" w:eastAsia="仿宋" w:hAnsi="仿宋" w:hint="eastAsia"/>
                <w:bCs/>
                <w:sz w:val="28"/>
                <w:szCs w:val="28"/>
              </w:rPr>
              <w:t>万</w:t>
            </w:r>
            <w:r>
              <w:rPr>
                <w:rFonts w:ascii="仿宋" w:eastAsia="仿宋" w:hAnsi="仿宋" w:hint="eastAsia"/>
                <w:bCs/>
                <w:sz w:val="28"/>
                <w:szCs w:val="28"/>
              </w:rPr>
              <w:t>。</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中英双语视频在中国日报、中国日报香港版、中国日报亚太版推特账号推出，</w:t>
            </w:r>
            <w:r>
              <w:rPr>
                <w:rFonts w:ascii="仿宋" w:eastAsia="仿宋" w:hAnsi="仿宋" w:hint="eastAsia"/>
                <w:bCs/>
                <w:sz w:val="28"/>
                <w:szCs w:val="28"/>
              </w:rPr>
              <w:t>全平台总传播量超千万，</w:t>
            </w:r>
            <w:r>
              <w:rPr>
                <w:rFonts w:ascii="仿宋" w:eastAsia="仿宋" w:hAnsi="仿宋" w:hint="eastAsia"/>
                <w:bCs/>
                <w:sz w:val="28"/>
                <w:szCs w:val="28"/>
              </w:rPr>
              <w:t>报道中港澳青年正面积极的经历和形象给海外社交媒体平台上的网友留下深刻印象，有评论说：“到祖国最有机会</w:t>
            </w:r>
            <w:r>
              <w:rPr>
                <w:rFonts w:ascii="仿宋" w:eastAsia="仿宋" w:hAnsi="仿宋" w:hint="eastAsia"/>
                <w:bCs/>
                <w:sz w:val="28"/>
                <w:szCs w:val="28"/>
              </w:rPr>
              <w:t>的地方去”“我所在的城市就有很多</w:t>
            </w:r>
            <w:r>
              <w:rPr>
                <w:rFonts w:ascii="仿宋" w:eastAsia="仿宋" w:hAnsi="仿宋" w:hint="eastAsia"/>
                <w:bCs/>
                <w:sz w:val="28"/>
                <w:szCs w:val="28"/>
              </w:rPr>
              <w:t>Hong Kong</w:t>
            </w:r>
            <w:r>
              <w:rPr>
                <w:rFonts w:ascii="仿宋" w:eastAsia="仿宋" w:hAnsi="仿宋" w:hint="eastAsia"/>
                <w:bCs/>
                <w:sz w:val="28"/>
                <w:szCs w:val="28"/>
              </w:rPr>
              <w:t>和</w:t>
            </w:r>
            <w:r>
              <w:rPr>
                <w:rFonts w:ascii="仿宋" w:eastAsia="仿宋" w:hAnsi="仿宋" w:hint="eastAsia"/>
                <w:bCs/>
                <w:sz w:val="28"/>
                <w:szCs w:val="28"/>
              </w:rPr>
              <w:t>Macao</w:t>
            </w:r>
            <w:r>
              <w:rPr>
                <w:rFonts w:ascii="仿宋" w:eastAsia="仿宋" w:hAnsi="仿宋" w:hint="eastAsia"/>
                <w:bCs/>
                <w:sz w:val="28"/>
                <w:szCs w:val="28"/>
              </w:rPr>
              <w:t>青年来创业、就业、生活和学习。”</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系列报道刊发后，受到上级部门的高度肯定，认为报道真挚感人，体现了港澳青年融入祖国发展的趋势，有利于香港人心回归，</w:t>
            </w:r>
            <w:r>
              <w:rPr>
                <w:rFonts w:ascii="仿宋" w:eastAsia="仿宋" w:hAnsi="仿宋" w:hint="eastAsia"/>
                <w:bCs/>
                <w:sz w:val="28"/>
                <w:szCs w:val="28"/>
              </w:rPr>
              <w:t>并安排推送。</w:t>
            </w:r>
            <w:r>
              <w:rPr>
                <w:rFonts w:ascii="仿宋" w:eastAsia="仿宋" w:hAnsi="仿宋" w:hint="eastAsia"/>
                <w:bCs/>
                <w:sz w:val="28"/>
                <w:szCs w:val="28"/>
              </w:rPr>
              <w:t>受访港澳青年所在省份主流媒体主动转发，引发网友积极讨论和反馈。有网友留言“香港需要这样的青年，国家和香港的传承者”。</w:t>
            </w:r>
          </w:p>
        </w:tc>
      </w:tr>
      <w:tr w:rsidR="001364C0" w:rsidTr="008F375D">
        <w:trPr>
          <w:cantSplit/>
          <w:trHeight w:hRule="exact" w:val="7222"/>
        </w:trPr>
        <w:tc>
          <w:tcPr>
            <w:tcW w:w="1314" w:type="dxa"/>
            <w:tcBorders>
              <w:bottom w:val="single" w:sz="4" w:space="0" w:color="auto"/>
            </w:tcBorders>
            <w:vAlign w:val="center"/>
          </w:tcPr>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1364C0" w:rsidRDefault="00AA76C4">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1364C0" w:rsidRDefault="00AA76C4">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179" w:type="dxa"/>
            <w:gridSpan w:val="7"/>
            <w:tcBorders>
              <w:bottom w:val="single" w:sz="4" w:space="0" w:color="auto"/>
            </w:tcBorders>
          </w:tcPr>
          <w:p w:rsidR="001364C0" w:rsidRDefault="0086244D" w:rsidP="0086244D">
            <w:pPr>
              <w:widowControl w:val="0"/>
              <w:spacing w:line="360" w:lineRule="exact"/>
              <w:ind w:firstLineChars="0" w:firstLine="0"/>
              <w:rPr>
                <w:rFonts w:ascii="仿宋" w:eastAsia="仿宋" w:hAnsi="仿宋"/>
                <w:bCs/>
                <w:sz w:val="28"/>
                <w:szCs w:val="28"/>
              </w:rPr>
            </w:pPr>
            <w:r>
              <w:rPr>
                <w:rFonts w:ascii="仿宋" w:eastAsia="仿宋" w:hAnsi="仿宋" w:hint="eastAsia"/>
                <w:bCs/>
                <w:sz w:val="28"/>
                <w:szCs w:val="28"/>
              </w:rPr>
              <w:t xml:space="preserve">    </w:t>
            </w:r>
            <w:r w:rsidR="00AA76C4">
              <w:rPr>
                <w:rFonts w:ascii="仿宋" w:eastAsia="仿宋" w:hAnsi="仿宋" w:hint="eastAsia"/>
                <w:bCs/>
                <w:sz w:val="28"/>
                <w:szCs w:val="28"/>
              </w:rPr>
              <w:t>自</w:t>
            </w:r>
            <w:r w:rsidR="00AA76C4">
              <w:rPr>
                <w:rFonts w:ascii="仿宋" w:eastAsia="仿宋" w:hAnsi="仿宋" w:hint="eastAsia"/>
                <w:bCs/>
                <w:sz w:val="28"/>
                <w:szCs w:val="28"/>
              </w:rPr>
              <w:t>2019</w:t>
            </w:r>
            <w:r w:rsidR="00AA76C4">
              <w:rPr>
                <w:rFonts w:ascii="仿宋" w:eastAsia="仿宋" w:hAnsi="仿宋" w:hint="eastAsia"/>
                <w:bCs/>
                <w:sz w:val="28"/>
                <w:szCs w:val="28"/>
              </w:rPr>
              <w:t>年香港“修例”风波以来，中国日报积极做好涉港报道，为更好推动香港青年的人心回归，专门策划了</w:t>
            </w:r>
            <w:r w:rsidR="00AA76C4">
              <w:rPr>
                <w:rFonts w:ascii="仿宋" w:eastAsia="仿宋" w:hAnsi="仿宋" w:hint="eastAsia"/>
                <w:bCs/>
                <w:sz w:val="28"/>
                <w:szCs w:val="28"/>
              </w:rPr>
              <w:t>“</w:t>
            </w:r>
            <w:r w:rsidR="00AA76C4">
              <w:rPr>
                <w:rFonts w:ascii="仿宋" w:eastAsia="仿宋" w:hAnsi="仿宋" w:hint="eastAsia"/>
                <w:bCs/>
                <w:sz w:val="28"/>
                <w:szCs w:val="28"/>
              </w:rPr>
              <w:t>港</w:t>
            </w:r>
            <w:r w:rsidR="00AA76C4">
              <w:rPr>
                <w:rFonts w:ascii="仿宋" w:eastAsia="仿宋" w:hAnsi="仿宋" w:hint="eastAsia"/>
                <w:sz w:val="28"/>
                <w:szCs w:val="28"/>
              </w:rPr>
              <w:t>澳青年</w:t>
            </w:r>
            <w:r w:rsidR="00AA76C4">
              <w:rPr>
                <w:rFonts w:ascii="仿宋" w:eastAsia="仿宋" w:hAnsi="仿宋" w:hint="eastAsia"/>
                <w:sz w:val="28"/>
                <w:szCs w:val="28"/>
              </w:rPr>
              <w:t>扎根内地”</w:t>
            </w:r>
            <w:r w:rsidR="00AA76C4">
              <w:rPr>
                <w:rFonts w:ascii="仿宋" w:eastAsia="仿宋" w:hAnsi="仿宋" w:hint="eastAsia"/>
                <w:bCs/>
                <w:sz w:val="28"/>
                <w:szCs w:val="28"/>
              </w:rPr>
              <w:t>系列报道，在</w:t>
            </w:r>
            <w:r w:rsidR="00AA76C4">
              <w:rPr>
                <w:rFonts w:ascii="仿宋" w:eastAsia="仿宋" w:hAnsi="仿宋" w:hint="eastAsia"/>
                <w:bCs/>
                <w:sz w:val="28"/>
                <w:szCs w:val="28"/>
              </w:rPr>
              <w:t>2021</w:t>
            </w:r>
            <w:r w:rsidR="00AA76C4">
              <w:rPr>
                <w:rFonts w:ascii="仿宋" w:eastAsia="仿宋" w:hAnsi="仿宋" w:hint="eastAsia"/>
                <w:bCs/>
                <w:sz w:val="28"/>
                <w:szCs w:val="28"/>
              </w:rPr>
              <w:t>年香港立法会选举前夕推出，得到了上级领导的高度肯定。</w:t>
            </w:r>
          </w:p>
          <w:p w:rsidR="001364C0" w:rsidRDefault="00AA76C4">
            <w:pPr>
              <w:widowControl w:val="0"/>
              <w:spacing w:line="360" w:lineRule="exact"/>
              <w:ind w:firstLine="560"/>
              <w:rPr>
                <w:rFonts w:ascii="仿宋" w:eastAsia="仿宋" w:hAnsi="仿宋"/>
                <w:bCs/>
                <w:sz w:val="28"/>
                <w:szCs w:val="28"/>
              </w:rPr>
            </w:pPr>
            <w:r>
              <w:rPr>
                <w:rFonts w:ascii="仿宋" w:eastAsia="仿宋" w:hAnsi="仿宋" w:hint="eastAsia"/>
                <w:bCs/>
                <w:sz w:val="28"/>
                <w:szCs w:val="28"/>
              </w:rPr>
              <w:t>该系列报道重点针对港澳和海外受众，通过小切口讲大故事，展现了越来越多的港澳青年选择到内地投资兴业、投入乡村教育、助力乡村振兴</w:t>
            </w:r>
            <w:r>
              <w:rPr>
                <w:rFonts w:ascii="仿宋" w:eastAsia="仿宋" w:hAnsi="仿宋" w:hint="eastAsia"/>
                <w:bCs/>
                <w:sz w:val="28"/>
                <w:szCs w:val="28"/>
              </w:rPr>
              <w:t>等新趋势</w:t>
            </w:r>
            <w:r>
              <w:rPr>
                <w:rFonts w:ascii="仿宋" w:eastAsia="仿宋" w:hAnsi="仿宋" w:hint="eastAsia"/>
                <w:bCs/>
                <w:sz w:val="28"/>
                <w:szCs w:val="28"/>
              </w:rPr>
              <w:t>。报道进一步丰富了港澳青年内地发展的传统叙事，是主动设置议题，</w:t>
            </w:r>
            <w:r>
              <w:rPr>
                <w:rFonts w:ascii="仿宋" w:eastAsia="仿宋" w:hAnsi="仿宋" w:hint="eastAsia"/>
                <w:bCs/>
                <w:sz w:val="28"/>
                <w:szCs w:val="28"/>
              </w:rPr>
              <w:t>积极构建对外话语体系</w:t>
            </w:r>
            <w:r>
              <w:rPr>
                <w:rFonts w:ascii="仿宋" w:eastAsia="仿宋" w:hAnsi="仿宋" w:hint="eastAsia"/>
                <w:bCs/>
                <w:sz w:val="28"/>
                <w:szCs w:val="28"/>
              </w:rPr>
              <w:t>的积极尝试，取得良好</w:t>
            </w:r>
            <w:r>
              <w:rPr>
                <w:rFonts w:ascii="仿宋" w:eastAsia="仿宋" w:hAnsi="仿宋" w:hint="eastAsia"/>
                <w:bCs/>
                <w:sz w:val="28"/>
                <w:szCs w:val="28"/>
              </w:rPr>
              <w:t>对外</w:t>
            </w:r>
            <w:bookmarkStart w:id="0" w:name="_GoBack"/>
            <w:bookmarkEnd w:id="0"/>
            <w:r>
              <w:rPr>
                <w:rFonts w:ascii="仿宋" w:eastAsia="仿宋" w:hAnsi="仿宋" w:hint="eastAsia"/>
                <w:bCs/>
                <w:sz w:val="28"/>
                <w:szCs w:val="28"/>
              </w:rPr>
              <w:t>传播效果。</w:t>
            </w:r>
          </w:p>
          <w:p w:rsidR="001364C0" w:rsidRDefault="001364C0">
            <w:pPr>
              <w:widowControl w:val="0"/>
              <w:spacing w:line="240" w:lineRule="auto"/>
              <w:ind w:firstLine="420"/>
              <w:rPr>
                <w:rFonts w:ascii="仿宋" w:eastAsia="仿宋" w:hAnsi="仿宋"/>
                <w:color w:val="000000"/>
                <w:szCs w:val="21"/>
              </w:rPr>
            </w:pPr>
          </w:p>
          <w:p w:rsidR="001364C0" w:rsidRDefault="001364C0">
            <w:pPr>
              <w:widowControl w:val="0"/>
              <w:spacing w:line="240" w:lineRule="auto"/>
              <w:ind w:firstLine="420"/>
              <w:rPr>
                <w:rFonts w:ascii="仿宋" w:eastAsia="仿宋" w:hAnsi="仿宋" w:hint="eastAsia"/>
                <w:color w:val="000000"/>
                <w:szCs w:val="21"/>
              </w:rPr>
            </w:pPr>
          </w:p>
          <w:p w:rsidR="008F375D" w:rsidRDefault="008F375D">
            <w:pPr>
              <w:widowControl w:val="0"/>
              <w:spacing w:line="240" w:lineRule="auto"/>
              <w:ind w:firstLine="420"/>
              <w:rPr>
                <w:rFonts w:ascii="仿宋" w:eastAsia="仿宋" w:hAnsi="仿宋"/>
                <w:color w:val="000000"/>
                <w:szCs w:val="21"/>
              </w:rPr>
            </w:pPr>
          </w:p>
          <w:p w:rsidR="001364C0" w:rsidRDefault="00AA76C4">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1364C0" w:rsidRDefault="001364C0">
            <w:pPr>
              <w:widowControl w:val="0"/>
              <w:spacing w:line="360" w:lineRule="exact"/>
              <w:ind w:firstLineChars="1400" w:firstLine="3864"/>
              <w:rPr>
                <w:rFonts w:ascii="华文中宋" w:eastAsia="华文中宋" w:hAnsi="华文中宋"/>
                <w:color w:val="000000"/>
                <w:spacing w:val="-2"/>
                <w:sz w:val="28"/>
              </w:rPr>
            </w:pPr>
          </w:p>
          <w:p w:rsidR="001364C0" w:rsidRDefault="00AA76C4">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1364C0" w:rsidRDefault="00AA76C4">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r w:rsidR="001364C0">
        <w:trPr>
          <w:cantSplit/>
          <w:trHeight w:val="465"/>
        </w:trPr>
        <w:tc>
          <w:tcPr>
            <w:tcW w:w="9493" w:type="dxa"/>
            <w:gridSpan w:val="8"/>
            <w:tcBorders>
              <w:left w:val="nil"/>
              <w:bottom w:val="nil"/>
              <w:right w:val="nil"/>
            </w:tcBorders>
          </w:tcPr>
          <w:p w:rsidR="001364C0" w:rsidRDefault="001364C0">
            <w:pPr>
              <w:widowControl w:val="0"/>
              <w:ind w:firstLine="560"/>
              <w:rPr>
                <w:rFonts w:ascii="楷体" w:eastAsia="楷体" w:hAnsi="楷体"/>
                <w:color w:val="000000"/>
                <w:sz w:val="28"/>
              </w:rPr>
            </w:pPr>
          </w:p>
        </w:tc>
      </w:tr>
    </w:tbl>
    <w:p w:rsidR="001364C0" w:rsidRDefault="001364C0">
      <w:pPr>
        <w:widowControl w:val="0"/>
        <w:ind w:firstLineChars="0" w:firstLine="0"/>
        <w:rPr>
          <w:rFonts w:ascii="华文仿宋" w:eastAsia="华文仿宋" w:hAnsi="华文仿宋"/>
          <w:color w:val="000000"/>
          <w:sz w:val="32"/>
          <w:szCs w:val="32"/>
        </w:rPr>
        <w:sectPr w:rsidR="001364C0">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851" w:footer="1418" w:gutter="0"/>
          <w:cols w:space="425"/>
          <w:docGrid w:type="lines" w:linePitch="312"/>
        </w:sectPr>
      </w:pPr>
    </w:p>
    <w:p w:rsidR="001364C0" w:rsidRDefault="001364C0" w:rsidP="008F375D">
      <w:pPr>
        <w:ind w:firstLineChars="0" w:firstLine="0"/>
      </w:pPr>
    </w:p>
    <w:sectPr w:rsidR="001364C0" w:rsidSect="00136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C4" w:rsidRDefault="00AA76C4">
      <w:pPr>
        <w:spacing w:line="240" w:lineRule="auto"/>
        <w:ind w:firstLine="420"/>
      </w:pPr>
      <w:r>
        <w:separator/>
      </w:r>
    </w:p>
  </w:endnote>
  <w:endnote w:type="continuationSeparator" w:id="1">
    <w:p w:rsidR="00AA76C4" w:rsidRDefault="00AA76C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C4" w:rsidRDefault="00AA76C4">
      <w:pPr>
        <w:spacing w:line="240" w:lineRule="auto"/>
        <w:ind w:firstLine="420"/>
      </w:pPr>
      <w:r>
        <w:separator/>
      </w:r>
    </w:p>
  </w:footnote>
  <w:footnote w:type="continuationSeparator" w:id="1">
    <w:p w:rsidR="00AA76C4" w:rsidRDefault="00AA76C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C0" w:rsidRDefault="001364C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WQ1YWVkOTc3NTBhNGQ2ODFmMGUzMGVjN2JhZGMwZDEifQ=="/>
  </w:docVars>
  <w:rsids>
    <w:rsidRoot w:val="0067230D"/>
    <w:rsid w:val="000226A3"/>
    <w:rsid w:val="00047A8E"/>
    <w:rsid w:val="000B792F"/>
    <w:rsid w:val="000F556A"/>
    <w:rsid w:val="00133892"/>
    <w:rsid w:val="001364C0"/>
    <w:rsid w:val="00161374"/>
    <w:rsid w:val="001B0216"/>
    <w:rsid w:val="002B592C"/>
    <w:rsid w:val="00321056"/>
    <w:rsid w:val="00440028"/>
    <w:rsid w:val="0044541B"/>
    <w:rsid w:val="00481B8A"/>
    <w:rsid w:val="004D5B6E"/>
    <w:rsid w:val="004F0120"/>
    <w:rsid w:val="00572DEB"/>
    <w:rsid w:val="005A6602"/>
    <w:rsid w:val="0067230D"/>
    <w:rsid w:val="00811CC5"/>
    <w:rsid w:val="008216A4"/>
    <w:rsid w:val="0086244D"/>
    <w:rsid w:val="008D52A8"/>
    <w:rsid w:val="008F375D"/>
    <w:rsid w:val="00914281"/>
    <w:rsid w:val="00916D80"/>
    <w:rsid w:val="00981A2C"/>
    <w:rsid w:val="009A450C"/>
    <w:rsid w:val="00A555BD"/>
    <w:rsid w:val="00AA76C4"/>
    <w:rsid w:val="00B00577"/>
    <w:rsid w:val="00B0284D"/>
    <w:rsid w:val="00B32B7A"/>
    <w:rsid w:val="00B6497C"/>
    <w:rsid w:val="00B6519E"/>
    <w:rsid w:val="00C80C07"/>
    <w:rsid w:val="00C85CEE"/>
    <w:rsid w:val="00CC055D"/>
    <w:rsid w:val="00D97F8B"/>
    <w:rsid w:val="00DC43FA"/>
    <w:rsid w:val="00E42482"/>
    <w:rsid w:val="00E80761"/>
    <w:rsid w:val="00E96316"/>
    <w:rsid w:val="00EC3C37"/>
    <w:rsid w:val="00F22B6D"/>
    <w:rsid w:val="00F8408E"/>
    <w:rsid w:val="00FC0929"/>
    <w:rsid w:val="017E1A88"/>
    <w:rsid w:val="02A35F3C"/>
    <w:rsid w:val="035737DA"/>
    <w:rsid w:val="044522F2"/>
    <w:rsid w:val="0A4A6CF0"/>
    <w:rsid w:val="0CA170DA"/>
    <w:rsid w:val="0DF6684F"/>
    <w:rsid w:val="0EC41ACD"/>
    <w:rsid w:val="0F69675E"/>
    <w:rsid w:val="103A42D6"/>
    <w:rsid w:val="106A57E6"/>
    <w:rsid w:val="135D5923"/>
    <w:rsid w:val="144B1966"/>
    <w:rsid w:val="156E7814"/>
    <w:rsid w:val="159643E7"/>
    <w:rsid w:val="192F51EB"/>
    <w:rsid w:val="19D63605"/>
    <w:rsid w:val="1A575A06"/>
    <w:rsid w:val="1A804D8B"/>
    <w:rsid w:val="1B2E6647"/>
    <w:rsid w:val="1C944E9D"/>
    <w:rsid w:val="1DF41BE3"/>
    <w:rsid w:val="20287FA1"/>
    <w:rsid w:val="216A7F86"/>
    <w:rsid w:val="216C19B4"/>
    <w:rsid w:val="2354015B"/>
    <w:rsid w:val="23E75626"/>
    <w:rsid w:val="240879BE"/>
    <w:rsid w:val="244C4ED5"/>
    <w:rsid w:val="25E40DDA"/>
    <w:rsid w:val="261A4D1A"/>
    <w:rsid w:val="295D46B6"/>
    <w:rsid w:val="2A885362"/>
    <w:rsid w:val="2AE22849"/>
    <w:rsid w:val="2B1774FC"/>
    <w:rsid w:val="2C946854"/>
    <w:rsid w:val="2CF7263C"/>
    <w:rsid w:val="2FA420BD"/>
    <w:rsid w:val="32E74402"/>
    <w:rsid w:val="3329291F"/>
    <w:rsid w:val="36566E76"/>
    <w:rsid w:val="38E7417B"/>
    <w:rsid w:val="3A9658B5"/>
    <w:rsid w:val="3AD73593"/>
    <w:rsid w:val="3B697528"/>
    <w:rsid w:val="3CE47104"/>
    <w:rsid w:val="3D2455E1"/>
    <w:rsid w:val="403C0ED4"/>
    <w:rsid w:val="40B31AB7"/>
    <w:rsid w:val="417D43C2"/>
    <w:rsid w:val="45920676"/>
    <w:rsid w:val="4592388D"/>
    <w:rsid w:val="45E508DD"/>
    <w:rsid w:val="469E171F"/>
    <w:rsid w:val="47724E93"/>
    <w:rsid w:val="4C19038E"/>
    <w:rsid w:val="4E9A1CC9"/>
    <w:rsid w:val="4F3D6656"/>
    <w:rsid w:val="52486693"/>
    <w:rsid w:val="53331444"/>
    <w:rsid w:val="533F1F6C"/>
    <w:rsid w:val="538C0852"/>
    <w:rsid w:val="54595C98"/>
    <w:rsid w:val="553F6E7D"/>
    <w:rsid w:val="55922CE3"/>
    <w:rsid w:val="56B141C8"/>
    <w:rsid w:val="58A12F79"/>
    <w:rsid w:val="58A708AB"/>
    <w:rsid w:val="58E6788D"/>
    <w:rsid w:val="592A7857"/>
    <w:rsid w:val="59630DCE"/>
    <w:rsid w:val="5A3A637D"/>
    <w:rsid w:val="5ACD2A16"/>
    <w:rsid w:val="5BCA4632"/>
    <w:rsid w:val="5C605B10"/>
    <w:rsid w:val="5D6361D8"/>
    <w:rsid w:val="5DC1162A"/>
    <w:rsid w:val="5E7D0117"/>
    <w:rsid w:val="5EBF58DB"/>
    <w:rsid w:val="60F4669A"/>
    <w:rsid w:val="61DF523E"/>
    <w:rsid w:val="61E414F2"/>
    <w:rsid w:val="62042A89"/>
    <w:rsid w:val="624E186E"/>
    <w:rsid w:val="64833B6F"/>
    <w:rsid w:val="64857096"/>
    <w:rsid w:val="64B2722C"/>
    <w:rsid w:val="64F839E3"/>
    <w:rsid w:val="661637C9"/>
    <w:rsid w:val="66713F2B"/>
    <w:rsid w:val="67653B73"/>
    <w:rsid w:val="67FF12B5"/>
    <w:rsid w:val="68375C47"/>
    <w:rsid w:val="68463036"/>
    <w:rsid w:val="69505C7C"/>
    <w:rsid w:val="697D46B5"/>
    <w:rsid w:val="69F37102"/>
    <w:rsid w:val="6A631064"/>
    <w:rsid w:val="6E221D4F"/>
    <w:rsid w:val="6FD31423"/>
    <w:rsid w:val="70A15B5A"/>
    <w:rsid w:val="715870A3"/>
    <w:rsid w:val="752A35BC"/>
    <w:rsid w:val="779B2B0E"/>
    <w:rsid w:val="78B909E5"/>
    <w:rsid w:val="7B4D2832"/>
    <w:rsid w:val="7C2F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C0"/>
    <w:pPr>
      <w:spacing w:line="560" w:lineRule="exact"/>
      <w:ind w:firstLineChars="200" w:firstLine="20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1364C0"/>
    <w:pPr>
      <w:spacing w:after="120"/>
    </w:pPr>
    <w:rPr>
      <w:sz w:val="16"/>
      <w:szCs w:val="16"/>
    </w:rPr>
  </w:style>
  <w:style w:type="paragraph" w:styleId="a3">
    <w:name w:val="Balloon Text"/>
    <w:basedOn w:val="a"/>
    <w:link w:val="Char"/>
    <w:uiPriority w:val="99"/>
    <w:semiHidden/>
    <w:unhideWhenUsed/>
    <w:qFormat/>
    <w:rsid w:val="001364C0"/>
    <w:pPr>
      <w:spacing w:line="240" w:lineRule="auto"/>
    </w:pPr>
    <w:rPr>
      <w:sz w:val="18"/>
      <w:szCs w:val="18"/>
    </w:rPr>
  </w:style>
  <w:style w:type="paragraph" w:styleId="a4">
    <w:name w:val="footer"/>
    <w:basedOn w:val="a"/>
    <w:link w:val="Char0"/>
    <w:uiPriority w:val="99"/>
    <w:unhideWhenUsed/>
    <w:qFormat/>
    <w:rsid w:val="001364C0"/>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1364C0"/>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1364C0"/>
    <w:rPr>
      <w:sz w:val="18"/>
      <w:szCs w:val="18"/>
    </w:rPr>
  </w:style>
  <w:style w:type="character" w:customStyle="1" w:styleId="Char0">
    <w:name w:val="页脚 Char"/>
    <w:basedOn w:val="a0"/>
    <w:link w:val="a4"/>
    <w:uiPriority w:val="99"/>
    <w:qFormat/>
    <w:rsid w:val="001364C0"/>
    <w:rPr>
      <w:sz w:val="18"/>
      <w:szCs w:val="18"/>
    </w:rPr>
  </w:style>
  <w:style w:type="character" w:customStyle="1" w:styleId="3Char">
    <w:name w:val="正文文本 3 Char"/>
    <w:basedOn w:val="a0"/>
    <w:link w:val="3"/>
    <w:uiPriority w:val="99"/>
    <w:qFormat/>
    <w:rsid w:val="001364C0"/>
    <w:rPr>
      <w:rFonts w:ascii="Times New Roman" w:eastAsia="宋体" w:hAnsi="Times New Roman" w:cs="Times New Roman"/>
      <w:sz w:val="16"/>
      <w:szCs w:val="16"/>
    </w:rPr>
  </w:style>
  <w:style w:type="paragraph" w:customStyle="1" w:styleId="1">
    <w:name w:val="修订1"/>
    <w:hidden/>
    <w:uiPriority w:val="99"/>
    <w:semiHidden/>
    <w:qFormat/>
    <w:rsid w:val="001364C0"/>
    <w:rPr>
      <w:kern w:val="2"/>
      <w:sz w:val="21"/>
    </w:rPr>
  </w:style>
  <w:style w:type="character" w:customStyle="1" w:styleId="Char">
    <w:name w:val="批注框文本 Char"/>
    <w:basedOn w:val="a0"/>
    <w:link w:val="a3"/>
    <w:uiPriority w:val="99"/>
    <w:semiHidden/>
    <w:rsid w:val="001364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218</Words>
  <Characters>1249</Characters>
  <Application>Microsoft Office Word</Application>
  <DocSecurity>0</DocSecurity>
  <Lines>10</Lines>
  <Paragraphs>2</Paragraphs>
  <ScaleCrop>false</ScaleCrop>
  <Company>神州网信技术有限公司</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Juan</dc:creator>
  <cp:lastModifiedBy>李佳</cp:lastModifiedBy>
  <cp:revision>23</cp:revision>
  <dcterms:created xsi:type="dcterms:W3CDTF">2022-06-15T09:24:00Z</dcterms:created>
  <dcterms:modified xsi:type="dcterms:W3CDTF">2022-06-24T07:36:00Z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C5EB3AEB939543EFBF89C77B95FA9CCD</vt:lpwstr>
  </property>
</Properties>
</file>